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2F073">
      <w:pPr>
        <w:widowControl w:val="0"/>
        <w:kinsoku/>
        <w:spacing w:before="47" w:line="360" w:lineRule="auto"/>
        <w:ind w:left="3805"/>
        <w:jc w:val="both"/>
        <w:outlineLvl w:val="1"/>
        <w:rPr>
          <w:rFonts w:cs="宋体" w:asciiTheme="minorEastAsia" w:hAnsiTheme="minorEastAsia" w:eastAsiaTheme="minorEastAsia"/>
          <w:color w:val="auto"/>
          <w:sz w:val="24"/>
          <w:szCs w:val="24"/>
          <w:lang w:eastAsia="zh-CN"/>
        </w:rPr>
      </w:pPr>
      <w:bookmarkStart w:id="0" w:name="_Toc12949"/>
      <w:r>
        <w:rPr>
          <w:rFonts w:cs="宋体" w:asciiTheme="minorEastAsia" w:hAnsiTheme="minorEastAsia" w:eastAsiaTheme="minorEastAsia"/>
          <w:color w:val="auto"/>
          <w:spacing w:val="-2"/>
          <w:sz w:val="24"/>
          <w:szCs w:val="24"/>
        </w:rPr>
        <w:t>二、采购</w:t>
      </w:r>
      <w:r>
        <w:rPr>
          <w:rFonts w:hint="eastAsia" w:cs="宋体" w:asciiTheme="minorEastAsia" w:hAnsiTheme="minorEastAsia" w:eastAsiaTheme="minorEastAsia"/>
          <w:color w:val="auto"/>
          <w:spacing w:val="-2"/>
          <w:sz w:val="24"/>
          <w:szCs w:val="24"/>
          <w:lang w:eastAsia="zh-CN"/>
        </w:rPr>
        <w:t>要</w:t>
      </w:r>
      <w:r>
        <w:rPr>
          <w:rFonts w:cs="宋体" w:asciiTheme="minorEastAsia" w:hAnsiTheme="minorEastAsia" w:eastAsiaTheme="minorEastAsia"/>
          <w:color w:val="auto"/>
          <w:spacing w:val="-2"/>
          <w:sz w:val="24"/>
          <w:szCs w:val="24"/>
        </w:rPr>
        <w:t>求</w:t>
      </w:r>
      <w:bookmarkEnd w:id="0"/>
    </w:p>
    <w:p w14:paraId="5FFC5E50">
      <w:pPr>
        <w:widowControl w:val="0"/>
        <w:kinsoku/>
        <w:spacing w:before="78" w:line="360" w:lineRule="auto"/>
        <w:jc w:val="both"/>
        <w:rPr>
          <w:rFonts w:cs="宋体" w:asciiTheme="minorEastAsia" w:hAnsiTheme="minorEastAsia" w:eastAsiaTheme="minorEastAsia"/>
          <w:color w:val="auto"/>
          <w:spacing w:val="-5"/>
          <w:sz w:val="24"/>
          <w:szCs w:val="24"/>
        </w:rPr>
      </w:pPr>
      <w:r>
        <w:rPr>
          <w:rFonts w:cs="宋体" w:asciiTheme="minorEastAsia" w:hAnsiTheme="minorEastAsia" w:eastAsiaTheme="minorEastAsia"/>
          <w:color w:val="auto"/>
          <w:spacing w:val="-5"/>
          <w:sz w:val="24"/>
          <w:szCs w:val="24"/>
        </w:rPr>
        <w:t>（一）技术需求</w:t>
      </w:r>
    </w:p>
    <w:tbl>
      <w:tblPr>
        <w:tblStyle w:val="6"/>
        <w:tblW w:w="8520" w:type="dxa"/>
        <w:tblInd w:w="93" w:type="dxa"/>
        <w:tblLayout w:type="autofit"/>
        <w:tblCellMar>
          <w:top w:w="0" w:type="dxa"/>
          <w:left w:w="108" w:type="dxa"/>
          <w:bottom w:w="0" w:type="dxa"/>
          <w:right w:w="108" w:type="dxa"/>
        </w:tblCellMar>
      </w:tblPr>
      <w:tblGrid>
        <w:gridCol w:w="724"/>
        <w:gridCol w:w="709"/>
        <w:gridCol w:w="6379"/>
        <w:gridCol w:w="708"/>
      </w:tblGrid>
      <w:tr w14:paraId="3452753A">
        <w:tblPrEx>
          <w:tblCellMar>
            <w:top w:w="0" w:type="dxa"/>
            <w:left w:w="108" w:type="dxa"/>
            <w:bottom w:w="0" w:type="dxa"/>
            <w:right w:w="108" w:type="dxa"/>
          </w:tblCellMar>
        </w:tblPrEx>
        <w:trPr>
          <w:trHeight w:val="109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4AB5">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序号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7D84">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名称</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E900">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基本参数</w:t>
            </w:r>
          </w:p>
        </w:tc>
        <w:tc>
          <w:tcPr>
            <w:tcW w:w="708" w:type="dxa"/>
            <w:tcBorders>
              <w:top w:val="single" w:color="000000" w:sz="4" w:space="0"/>
              <w:left w:val="single" w:color="000000" w:sz="4" w:space="0"/>
              <w:bottom w:val="single" w:color="000000" w:sz="4" w:space="0"/>
              <w:right w:val="single" w:color="auto" w:sz="4" w:space="0"/>
            </w:tcBorders>
            <w:shd w:val="clear" w:color="auto" w:fill="auto"/>
            <w:vAlign w:val="center"/>
          </w:tcPr>
          <w:p w14:paraId="35EE6CF6">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数量</w:t>
            </w:r>
          </w:p>
        </w:tc>
      </w:tr>
      <w:tr w14:paraId="690405BB">
        <w:tblPrEx>
          <w:tblCellMar>
            <w:top w:w="0" w:type="dxa"/>
            <w:left w:w="108" w:type="dxa"/>
            <w:bottom w:w="0" w:type="dxa"/>
            <w:right w:w="108" w:type="dxa"/>
          </w:tblCellMar>
        </w:tblPrEx>
        <w:trPr>
          <w:trHeight w:val="283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4C1C">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E868">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小学篮球架</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CF14">
            <w:pPr>
              <w:spacing w:line="360" w:lineRule="auto"/>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一、篮球架符合GB19851.3</w:t>
            </w:r>
            <w:r>
              <w:rPr>
                <w:rFonts w:hint="eastAsia" w:cs="宋体" w:asciiTheme="minorEastAsia" w:hAnsiTheme="minorEastAsia" w:eastAsiaTheme="minorEastAsia"/>
                <w:color w:val="FF0000"/>
                <w:sz w:val="24"/>
                <w:szCs w:val="24"/>
                <w:lang w:eastAsia="zh-CN"/>
              </w:rPr>
              <w:t>。</w:t>
            </w:r>
            <w:r>
              <w:rPr>
                <w:rFonts w:hint="eastAsia" w:cs="宋体" w:asciiTheme="minorEastAsia" w:hAnsiTheme="minorEastAsia" w:eastAsiaTheme="minorEastAsia"/>
                <w:color w:val="FF0000"/>
                <w:sz w:val="24"/>
                <w:szCs w:val="24"/>
                <w:lang w:eastAsia="zh-CN"/>
              </w:rPr>
              <w:br w:type="textWrapping"/>
            </w:r>
            <w:r>
              <w:rPr>
                <w:rFonts w:hint="eastAsia" w:cs="宋体" w:asciiTheme="minorEastAsia" w:hAnsiTheme="minorEastAsia" w:eastAsiaTheme="minorEastAsia"/>
                <w:sz w:val="24"/>
                <w:szCs w:val="24"/>
                <w:lang w:eastAsia="zh-CN"/>
              </w:rPr>
              <w:t>二、篮球架型式：箱体式</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1.箱体材料采用厚度2.5mm优质钢板折弯焊接而成，从而达到箱子底坐的牢固性，其底座箱子尺寸为：长2000*宽1000*高430mm</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2.伸臂为梁式结构，主梁采用200x200X3.5mm优质矩形钢管，背梁采用40X80x2.5mm优质钢管，伸臂长度为：2250mm。立柱200X200x3.5MM，篮筐离地面高度：2750MM。</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3.篮板：选用钢化安全板，其四边选用20*40mm镀锌钢管外包铝合金边框，篮板下沿包有安全保护条，尺寸为1800*1050mm，厚度≥12mm。</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4.篮圈尺寸：篮圈为优质直径18mm的A3实心圆钢材料制成，篮球圈直径450mm(国际标准尺寸), 篮球网材料：尼龙网</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5.拉杆：大梁后部分与底座箱子连接采用梯形式拉杆，材料选用40*40*2.5mm优质钢管作为拉杆能巩固篮球架的稳定性和牢固性，篮板与架体采用五个点作为支撑连接从而达到安全稳定，其拉杆选用直径38*3mm优质钢管，并用弯管机一次成形“U”型，拉杆与篮球板连接处前端配有调节螺杆，便于调节篮球版的垂直度。</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6.五金件：螺钉,、螺母为防锈钢件防锈级别与器材使用寿命相匹配,并加防盗帽。</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三、安全性能：严格按国家篮球架要求，框架与配种整付设计合理，符合力学和相关安全标准。</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四、工艺流程：下料、表面处理、管材加工、焊接、打磨、抛砂处理、表面喷涂、组装、调试， 架体焊接部位全部采用CO2气体保护焊，焊接接头强度≥300Mpa；表面处理经过打磨抛砂处理，采用长沙美福隆室外优质塑粉进行静电粉末喷涂工艺烘烤200度，喷塑表面不低于GB1740中的1级；能耐酸碱,耐湿热,抗老化,耐腐蚀,能适合潮湿和酸雨环境,色彩选择合理,整体色彩效果明显,并确保能保持色彩长久不裉色。</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87DA">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10.5副</w:t>
            </w:r>
          </w:p>
        </w:tc>
      </w:tr>
      <w:tr w14:paraId="6BBAC01B">
        <w:tblPrEx>
          <w:tblCellMar>
            <w:top w:w="0" w:type="dxa"/>
            <w:left w:w="108" w:type="dxa"/>
            <w:bottom w:w="0" w:type="dxa"/>
            <w:right w:w="108" w:type="dxa"/>
          </w:tblCellMar>
        </w:tblPrEx>
        <w:trPr>
          <w:trHeight w:val="197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71F6">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D048">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初中篮球架</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2E87">
            <w:pPr>
              <w:spacing w:line="360" w:lineRule="auto"/>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一、篮球架符合GB19851.3</w:t>
            </w:r>
            <w:r>
              <w:rPr>
                <w:rFonts w:hint="eastAsia" w:cs="宋体" w:asciiTheme="minorEastAsia" w:hAnsiTheme="minorEastAsia" w:eastAsiaTheme="minorEastAsia"/>
                <w:color w:val="FF0000"/>
                <w:sz w:val="24"/>
                <w:szCs w:val="24"/>
                <w:lang w:eastAsia="zh-CN"/>
              </w:rPr>
              <w:t>。</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二、篮球架型式：箱体式</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1.箱体材料采用厚度2.5mm优质钢板折弯焊接而成，从而达到箱子底坐的牢固性，其底座箱子尺寸为：长2000*宽1000*高430mm</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2.伸臂为梁式结构，主梁采用200x200X3.5mm优质矩形钢管，背梁采用40X80x2.5mm优质钢管，伸臂长度为：2250mm。立柱200X200x3.5MM，篮筐离地面高度：3050MM。</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3.篮板：选用钢化安全板，其四边选用20*40mm镀锌钢管外包铝合金边框，篮板下沿包有安全保护条，尺寸为1800*1050mm，厚度≥12mm。</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4.篮圈尺寸：篮圈为优质直径18mm的A3实心圆钢材料制成，篮球圈直径450mm(国际标准尺寸), 篮球网材料：尼龙网</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5.拉杆：大梁后部分与底座箱子连接采用梯形式拉杆，材料选用40*40*2.5mm优质钢管作为拉杆能巩固篮球架的稳定性和牢固性，篮板与架体采用五个点作为支撑连接从而达到安全稳定，其拉杆选用直径38*3mm优质钢管，并用弯管机一次成形“U”型，拉杆与篮球板连接处前端配有调节螺杆，便于调节篮球版的垂直度。</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6.五金件：螺钉,、螺母为防锈钢件防锈级别与器材使用寿命相匹配,并加防盗帽。</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三、安全性能：严格按国家篮球架要求，框架与配种整付设计合理，符合力学和相关安全标准。</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四、工艺流程：下料、表面处理、管材加工、焊接、打磨、抛砂处理、表面喷涂、组装、调试， 架体焊接部位全部采用CO2气体保护焊，焊接接头强度≥300Mpa；表面处理经过打磨抛砂处理，采用长沙美福隆室外优质塑粉进行静电粉末喷涂工艺烘烤200度，喷塑表面不低于GB1740中的1级；能耐酸碱,耐湿热,抗老化,耐腐蚀,能适合潮湿和酸雨环境,色彩选择合理,整体色彩效果明显,并确保能保持色彩长久不裉色。</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B915">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7.5副</w:t>
            </w:r>
          </w:p>
        </w:tc>
      </w:tr>
      <w:tr w14:paraId="4E38C13A">
        <w:tblPrEx>
          <w:tblCellMar>
            <w:top w:w="0" w:type="dxa"/>
            <w:left w:w="108" w:type="dxa"/>
            <w:bottom w:w="0" w:type="dxa"/>
            <w:right w:w="108" w:type="dxa"/>
          </w:tblCellMar>
        </w:tblPrEx>
        <w:trPr>
          <w:trHeight w:val="316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6451">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8099">
            <w:pPr>
              <w:spacing w:line="360" w:lineRule="auto"/>
              <w:jc w:val="center"/>
              <w:textAlignment w:val="center"/>
              <w:rPr>
                <w:rFonts w:cs="仿宋" w:asciiTheme="minorEastAsia" w:hAnsiTheme="minorEastAsia" w:eastAsiaTheme="minorEastAsia"/>
                <w:sz w:val="24"/>
                <w:szCs w:val="24"/>
              </w:rPr>
            </w:pPr>
            <w:bookmarkStart w:id="1" w:name="OLE_LINK3"/>
            <w:bookmarkStart w:id="2" w:name="OLE_LINK4"/>
            <w:r>
              <w:rPr>
                <w:rFonts w:hint="eastAsia" w:cs="仿宋" w:asciiTheme="minorEastAsia" w:hAnsiTheme="minorEastAsia" w:eastAsiaTheme="minorEastAsia"/>
                <w:sz w:val="24"/>
                <w:szCs w:val="24"/>
                <w:lang w:eastAsia="zh-CN"/>
              </w:rPr>
              <w:t>乒乓球桌</w:t>
            </w:r>
            <w:bookmarkEnd w:id="1"/>
            <w:bookmarkEnd w:id="2"/>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2ADA">
            <w:pPr>
              <w:spacing w:line="360" w:lineRule="auto"/>
              <w:textAlignment w:val="center"/>
              <w:rPr>
                <w:rFonts w:cs="宋体" w:asciiTheme="minorEastAsia" w:hAnsiTheme="minorEastAsia" w:eastAsiaTheme="minorEastAsia"/>
                <w:sz w:val="24"/>
                <w:szCs w:val="24"/>
                <w:lang w:eastAsia="zh-CN"/>
              </w:rPr>
            </w:pPr>
            <w:r>
              <w:rPr>
                <w:rStyle w:val="8"/>
                <w:rFonts w:hint="default" w:asciiTheme="minorEastAsia" w:hAnsiTheme="minorEastAsia" w:eastAsiaTheme="minorEastAsia"/>
                <w:sz w:val="24"/>
                <w:szCs w:val="24"/>
                <w:lang w:eastAsia="zh-CN"/>
              </w:rPr>
              <w:t xml:space="preserve">1.外形尺寸（长×宽×高），≥mm 2740×1570×912  </w:t>
            </w:r>
            <w:r>
              <w:rPr>
                <w:rStyle w:val="8"/>
                <w:rFonts w:hint="default" w:asciiTheme="minorEastAsia" w:hAnsiTheme="minorEastAsia" w:eastAsiaTheme="minorEastAsia"/>
                <w:sz w:val="24"/>
                <w:szCs w:val="24"/>
                <w:lang w:eastAsia="zh-CN"/>
              </w:rPr>
              <w:br w:type="textWrapping"/>
            </w:r>
            <w:r>
              <w:rPr>
                <w:rStyle w:val="8"/>
                <w:rFonts w:hint="default" w:asciiTheme="minorEastAsia" w:hAnsiTheme="minorEastAsia" w:eastAsiaTheme="minorEastAsia"/>
                <w:sz w:val="24"/>
                <w:szCs w:val="24"/>
                <w:lang w:eastAsia="zh-CN"/>
              </w:rPr>
              <w:t>2.主要承载立柱材料及尺寸，≥mm 钢管，φ60×3</w:t>
            </w:r>
            <w:r>
              <w:rPr>
                <w:rStyle w:val="8"/>
                <w:rFonts w:hint="eastAsia" w:asciiTheme="minorEastAsia" w:hAnsiTheme="minorEastAsia" w:eastAsiaTheme="minorEastAsia"/>
                <w:sz w:val="24"/>
                <w:szCs w:val="24"/>
                <w:lang w:val="en-US" w:eastAsia="zh-CN"/>
              </w:rPr>
              <w:t>mm</w:t>
            </w:r>
            <w:r>
              <w:rPr>
                <w:rStyle w:val="8"/>
                <w:rFonts w:hint="default" w:asciiTheme="minorEastAsia" w:hAnsiTheme="minorEastAsia" w:eastAsiaTheme="minorEastAsia"/>
                <w:sz w:val="24"/>
                <w:szCs w:val="24"/>
                <w:lang w:eastAsia="zh-CN"/>
              </w:rPr>
              <w:t xml:space="preserve"> </w:t>
            </w:r>
            <w:r>
              <w:rPr>
                <w:rStyle w:val="8"/>
                <w:rFonts w:hint="eastAsia" w:asciiTheme="minorEastAsia" w:hAnsiTheme="minorEastAsia" w:eastAsiaTheme="minorEastAsia"/>
                <w:sz w:val="24"/>
                <w:szCs w:val="24"/>
                <w:lang w:val="en-US" w:eastAsia="zh-CN"/>
              </w:rPr>
              <w:t>(壁厚）</w:t>
            </w:r>
            <w:r>
              <w:rPr>
                <w:rStyle w:val="8"/>
                <w:rFonts w:hint="default" w:asciiTheme="minorEastAsia" w:hAnsiTheme="minorEastAsia" w:eastAsiaTheme="minorEastAsia"/>
                <w:sz w:val="24"/>
                <w:szCs w:val="24"/>
                <w:lang w:eastAsia="zh-CN"/>
              </w:rPr>
              <w:br w:type="textWrapping"/>
            </w:r>
            <w:r>
              <w:rPr>
                <w:rStyle w:val="8"/>
                <w:rFonts w:hint="default" w:asciiTheme="minorEastAsia" w:hAnsiTheme="minorEastAsia" w:eastAsiaTheme="minorEastAsia"/>
                <w:sz w:val="24"/>
                <w:szCs w:val="24"/>
                <w:lang w:eastAsia="zh-CN"/>
              </w:rPr>
              <w:t>3.主要承载横梁材料及尺寸，≥mm 钢管，30×20×2.0</w:t>
            </w:r>
            <w:r>
              <w:rPr>
                <w:rStyle w:val="8"/>
                <w:rFonts w:hint="default" w:asciiTheme="minorEastAsia" w:hAnsiTheme="minorEastAsia" w:eastAsiaTheme="minorEastAsia"/>
                <w:sz w:val="24"/>
                <w:szCs w:val="24"/>
                <w:lang w:eastAsia="zh-CN"/>
              </w:rPr>
              <w:br w:type="textWrapping"/>
            </w:r>
            <w:r>
              <w:rPr>
                <w:rStyle w:val="8"/>
                <w:rFonts w:hint="default" w:asciiTheme="minorEastAsia" w:hAnsiTheme="minorEastAsia" w:eastAsiaTheme="minorEastAsia"/>
                <w:sz w:val="24"/>
                <w:szCs w:val="24"/>
                <w:lang w:eastAsia="zh-CN"/>
              </w:rPr>
              <w:t>4.球台面板选用3mm优质铁板折压制成；台面支撑框采用四横四纵支撑管连接. 支撑管规格;30mm×20mm×2.5mm。</w:t>
            </w:r>
            <w:r>
              <w:rPr>
                <w:rStyle w:val="8"/>
                <w:rFonts w:hint="default" w:asciiTheme="minorEastAsia" w:hAnsiTheme="minorEastAsia" w:eastAsiaTheme="minorEastAsia"/>
                <w:sz w:val="24"/>
                <w:szCs w:val="24"/>
                <w:lang w:eastAsia="zh-CN"/>
              </w:rPr>
              <w:br w:type="textWrapping"/>
            </w:r>
            <w:r>
              <w:rPr>
                <w:rStyle w:val="8"/>
                <w:rFonts w:hint="default" w:asciiTheme="minorEastAsia" w:hAnsiTheme="minorEastAsia" w:eastAsiaTheme="minorEastAsia"/>
                <w:sz w:val="24"/>
                <w:szCs w:val="24"/>
                <w:lang w:eastAsia="zh-CN"/>
              </w:rPr>
              <w:t>5.棱边和棱角半径不小于3.0mm；                                                                            6.球台台面的颜色为蓝色或绿色，表面无光泽；端、边线和中线为白色。含钢制球网。</w:t>
            </w:r>
            <w:r>
              <w:rPr>
                <w:rStyle w:val="8"/>
                <w:rFonts w:hint="default" w:asciiTheme="minorEastAsia" w:hAnsiTheme="minorEastAsia" w:eastAsiaTheme="minorEastAsia"/>
                <w:sz w:val="24"/>
                <w:szCs w:val="24"/>
                <w:lang w:eastAsia="zh-CN"/>
              </w:rPr>
              <w:br w:type="textWrapping"/>
            </w:r>
            <w:r>
              <w:rPr>
                <w:rStyle w:val="8"/>
                <w:rFonts w:hint="default" w:asciiTheme="minorEastAsia" w:hAnsiTheme="minorEastAsia" w:eastAsiaTheme="minorEastAsia"/>
                <w:sz w:val="24"/>
                <w:szCs w:val="24"/>
                <w:lang w:eastAsia="zh-CN"/>
              </w:rPr>
              <w:t xml:space="preserve">7.球台表面平整无开裂、伤痕、明显翘曲等缺陷。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B609">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179张</w:t>
            </w:r>
          </w:p>
        </w:tc>
      </w:tr>
      <w:tr w14:paraId="5FBD760A">
        <w:tblPrEx>
          <w:tblCellMar>
            <w:top w:w="0" w:type="dxa"/>
            <w:left w:w="108" w:type="dxa"/>
            <w:bottom w:w="0" w:type="dxa"/>
            <w:right w:w="108" w:type="dxa"/>
          </w:tblCellMar>
        </w:tblPrEx>
        <w:trPr>
          <w:trHeight w:val="9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2DEE">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A42E">
            <w:pPr>
              <w:spacing w:line="360" w:lineRule="auto"/>
              <w:jc w:val="center"/>
              <w:textAlignment w:val="center"/>
              <w:rPr>
                <w:rFonts w:cs="仿宋" w:asciiTheme="minorEastAsia" w:hAnsiTheme="minorEastAsia" w:eastAsiaTheme="minorEastAsia"/>
                <w:sz w:val="24"/>
                <w:szCs w:val="24"/>
              </w:rPr>
            </w:pPr>
            <w:bookmarkStart w:id="3" w:name="OLE_LINK7"/>
            <w:bookmarkStart w:id="4" w:name="OLE_LINK8"/>
            <w:r>
              <w:rPr>
                <w:rFonts w:hint="eastAsia" w:cs="仿宋" w:asciiTheme="minorEastAsia" w:hAnsiTheme="minorEastAsia" w:eastAsiaTheme="minorEastAsia"/>
                <w:sz w:val="24"/>
                <w:szCs w:val="24"/>
                <w:lang w:eastAsia="zh-CN"/>
              </w:rPr>
              <w:t>五人制足球门</w:t>
            </w:r>
            <w:bookmarkEnd w:id="3"/>
            <w:bookmarkEnd w:id="4"/>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ADCE">
            <w:pPr>
              <w:spacing w:line="360" w:lineRule="auto"/>
              <w:textAlignment w:val="center"/>
              <w:rPr>
                <w:rFonts w:cs="宋体" w:asciiTheme="minorEastAsia" w:hAnsiTheme="minorEastAsia" w:eastAsiaTheme="minorEastAsia"/>
                <w:sz w:val="24"/>
                <w:szCs w:val="24"/>
                <w:lang w:eastAsia="zh-CN"/>
              </w:rPr>
            </w:pPr>
            <w:r>
              <w:rPr>
                <w:rStyle w:val="8"/>
                <w:rFonts w:hint="default" w:asciiTheme="minorEastAsia" w:hAnsiTheme="minorEastAsia" w:eastAsiaTheme="minorEastAsia"/>
                <w:sz w:val="24"/>
                <w:szCs w:val="24"/>
                <w:lang w:eastAsia="zh-CN"/>
              </w:rPr>
              <w:t>1.外形尺寸（长×宽×高），≥mm 3152×1578×2076 mm</w:t>
            </w:r>
            <w:r>
              <w:rPr>
                <w:rStyle w:val="8"/>
                <w:rFonts w:hint="default" w:asciiTheme="minorEastAsia" w:hAnsiTheme="minorEastAsia" w:eastAsiaTheme="minorEastAsia"/>
                <w:sz w:val="24"/>
                <w:szCs w:val="24"/>
                <w:lang w:eastAsia="zh-CN"/>
              </w:rPr>
              <w:br w:type="textWrapping"/>
            </w:r>
            <w:r>
              <w:rPr>
                <w:rStyle w:val="8"/>
                <w:rFonts w:hint="default" w:asciiTheme="minorEastAsia" w:hAnsiTheme="minorEastAsia" w:eastAsiaTheme="minorEastAsia"/>
                <w:sz w:val="24"/>
                <w:szCs w:val="24"/>
                <w:lang w:eastAsia="zh-CN"/>
              </w:rPr>
              <w:t>2.主要承载立柱材料及尺寸，≥mm 钢管，φ76×3</w:t>
            </w:r>
            <w:r>
              <w:rPr>
                <w:rStyle w:val="8"/>
                <w:rFonts w:hint="eastAsia" w:asciiTheme="minorEastAsia" w:hAnsiTheme="minorEastAsia" w:eastAsiaTheme="minorEastAsia"/>
                <w:sz w:val="24"/>
                <w:szCs w:val="24"/>
                <w:lang w:val="en-US" w:eastAsia="zh-CN"/>
              </w:rPr>
              <w:t>mm(壁厚）</w:t>
            </w:r>
            <w:r>
              <w:rPr>
                <w:rStyle w:val="8"/>
                <w:rFonts w:hint="default" w:asciiTheme="minorEastAsia" w:hAnsiTheme="minorEastAsia" w:eastAsiaTheme="minorEastAsia"/>
                <w:sz w:val="24"/>
                <w:szCs w:val="24"/>
                <w:lang w:eastAsia="zh-CN"/>
              </w:rPr>
              <w:br w:type="textWrapping"/>
            </w:r>
            <w:r>
              <w:rPr>
                <w:rStyle w:val="8"/>
                <w:rFonts w:hint="default" w:asciiTheme="minorEastAsia" w:hAnsiTheme="minorEastAsia" w:eastAsiaTheme="minorEastAsia"/>
                <w:sz w:val="24"/>
                <w:szCs w:val="24"/>
                <w:lang w:eastAsia="zh-CN"/>
              </w:rPr>
              <w:t>3.主要承载横梁材料及尺寸，≥mm 钢管，φ76×3</w:t>
            </w:r>
            <w:r>
              <w:rPr>
                <w:rStyle w:val="8"/>
                <w:rFonts w:hint="eastAsia" w:asciiTheme="minorEastAsia" w:hAnsiTheme="minorEastAsia" w:eastAsiaTheme="minorEastAsia"/>
                <w:sz w:val="24"/>
                <w:szCs w:val="24"/>
                <w:lang w:val="en-US" w:eastAsia="zh-CN"/>
              </w:rPr>
              <w:t>mm(壁厚）</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9511">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29个</w:t>
            </w:r>
          </w:p>
        </w:tc>
      </w:tr>
      <w:tr w14:paraId="79961578">
        <w:tblPrEx>
          <w:tblCellMar>
            <w:top w:w="0" w:type="dxa"/>
            <w:left w:w="108" w:type="dxa"/>
            <w:bottom w:w="0" w:type="dxa"/>
            <w:right w:w="108" w:type="dxa"/>
          </w:tblCellMar>
        </w:tblPrEx>
        <w:trPr>
          <w:trHeight w:val="1087"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C34C">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5998">
            <w:pPr>
              <w:spacing w:line="360" w:lineRule="auto"/>
              <w:jc w:val="center"/>
              <w:textAlignment w:val="center"/>
              <w:rPr>
                <w:rFonts w:cs="仿宋" w:asciiTheme="minorEastAsia" w:hAnsiTheme="minorEastAsia" w:eastAsiaTheme="minorEastAsia"/>
                <w:sz w:val="24"/>
                <w:szCs w:val="24"/>
              </w:rPr>
            </w:pPr>
            <w:bookmarkStart w:id="5" w:name="OLE_LINK12"/>
            <w:bookmarkStart w:id="6" w:name="OLE_LINK11"/>
            <w:r>
              <w:rPr>
                <w:rFonts w:hint="eastAsia" w:cs="仿宋" w:asciiTheme="minorEastAsia" w:hAnsiTheme="minorEastAsia" w:eastAsiaTheme="minorEastAsia"/>
                <w:sz w:val="24"/>
                <w:szCs w:val="24"/>
                <w:lang w:eastAsia="zh-CN"/>
              </w:rPr>
              <w:t>羽毛球架、网</w:t>
            </w:r>
            <w:bookmarkEnd w:id="5"/>
            <w:bookmarkEnd w:id="6"/>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EE47">
            <w:pPr>
              <w:numPr>
                <w:ilvl w:val="0"/>
                <w:numId w:val="1"/>
              </w:numPr>
              <w:spacing w:line="360" w:lineRule="auto"/>
              <w:textAlignment w:val="center"/>
              <w:rPr>
                <w:lang w:eastAsia="zh-CN"/>
              </w:rPr>
            </w:pPr>
            <w:r>
              <w:rPr>
                <w:rStyle w:val="8"/>
                <w:rFonts w:hint="default" w:asciiTheme="minorEastAsia" w:hAnsiTheme="minorEastAsia" w:eastAsiaTheme="minorEastAsia"/>
                <w:sz w:val="24"/>
                <w:szCs w:val="24"/>
                <w:lang w:eastAsia="zh-CN"/>
              </w:rPr>
              <w:t>外形尺寸（长×宽×高），≥mm 838×660×1550 mm</w:t>
            </w:r>
            <w:r>
              <w:rPr>
                <w:rStyle w:val="8"/>
                <w:rFonts w:hint="default" w:asciiTheme="minorEastAsia" w:hAnsiTheme="minorEastAsia" w:eastAsiaTheme="minorEastAsia"/>
                <w:sz w:val="24"/>
                <w:szCs w:val="24"/>
                <w:lang w:eastAsia="zh-CN"/>
              </w:rPr>
              <w:br w:type="textWrapping"/>
            </w:r>
            <w:r>
              <w:rPr>
                <w:rStyle w:val="8"/>
                <w:rFonts w:hint="default" w:asciiTheme="minorEastAsia" w:hAnsiTheme="minorEastAsia" w:eastAsiaTheme="minorEastAsia"/>
                <w:sz w:val="24"/>
                <w:szCs w:val="24"/>
                <w:lang w:eastAsia="zh-CN"/>
              </w:rPr>
              <w:t>2.主要承载立柱材料及尺寸，≥mm 钢管，φ40×3</w:t>
            </w:r>
            <w:r>
              <w:rPr>
                <w:rStyle w:val="8"/>
                <w:rFonts w:hint="eastAsia" w:asciiTheme="minorEastAsia" w:hAnsiTheme="minorEastAsia" w:eastAsiaTheme="minorEastAsia"/>
                <w:sz w:val="24"/>
                <w:szCs w:val="24"/>
                <w:lang w:val="en-US" w:eastAsia="zh-CN"/>
              </w:rPr>
              <w:t>mm(壁厚）</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0F73">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35套</w:t>
            </w:r>
          </w:p>
        </w:tc>
      </w:tr>
      <w:tr w14:paraId="09AC1FA9">
        <w:tblPrEx>
          <w:tblCellMar>
            <w:top w:w="0" w:type="dxa"/>
            <w:left w:w="108" w:type="dxa"/>
            <w:bottom w:w="0" w:type="dxa"/>
            <w:right w:w="108" w:type="dxa"/>
          </w:tblCellMar>
        </w:tblPrEx>
        <w:trPr>
          <w:trHeight w:val="9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42CD">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5A03">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排球架</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C581">
            <w:pPr>
              <w:spacing w:line="360" w:lineRule="auto"/>
              <w:textAlignment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产品结构：由底座、立柱和排球网组成</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调节高度：男子比赛高度：2430mm±5mm，女子比赛高度2240mm±5mm；中学生比赛高度：2000mm±5mm，小学生比赛高度1800mm±5mm。</w:t>
            </w:r>
            <w:bookmarkStart w:id="7" w:name="OLE_LINK15"/>
            <w:bookmarkStart w:id="8" w:name="OLE_LINK16"/>
            <w:r>
              <w:rPr>
                <w:rFonts w:hint="eastAsia" w:cs="宋体" w:asciiTheme="minorEastAsia" w:hAnsiTheme="minorEastAsia" w:eastAsiaTheme="minorEastAsia"/>
                <w:sz w:val="24"/>
                <w:szCs w:val="24"/>
                <w:lang w:eastAsia="zh-CN"/>
              </w:rPr>
              <w:br w:type="textWrapping"/>
            </w:r>
            <w:bookmarkEnd w:id="7"/>
            <w:bookmarkEnd w:id="8"/>
            <w:r>
              <w:rPr>
                <w:rFonts w:hint="eastAsia" w:cs="宋体" w:asciiTheme="minorEastAsia" w:hAnsiTheme="minorEastAsia" w:eastAsiaTheme="minorEastAsia"/>
                <w:sz w:val="24"/>
                <w:szCs w:val="24"/>
                <w:lang w:eastAsia="zh-CN"/>
              </w:rPr>
              <w:t>适用场地：适合两片场地之间尺寸≥4100mm</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底座外壳材料：高密度聚乙烯材料（HDPE）</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底座外壳聚乙烯原材料（PE）抗菌性能：依据GB/T31402-2015对大肠杆菌、金黄色葡萄球菌抗菌率达到99.9%以上。</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底座工艺：中空吹塑制造一次加工成型</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底座底板材料：10mm钢板，材质：Q235B，工艺：激光切割一次成型</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底座方管材料：φ140×140×3焊管，工艺：激光切割一次加工成型</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底座圆管材料：</w:t>
            </w:r>
            <w:r>
              <w:rPr>
                <w:rFonts w:hint="eastAsia" w:hAnsi="MS Mincho" w:eastAsia="MS Mincho" w:cs="MS Mincho" w:asciiTheme="minorEastAsia"/>
                <w:sz w:val="24"/>
                <w:szCs w:val="24"/>
                <w:lang w:eastAsia="zh-CN"/>
              </w:rPr>
              <w:t>∅</w:t>
            </w:r>
            <w:r>
              <w:rPr>
                <w:rFonts w:hint="eastAsia" w:cs="宋体" w:asciiTheme="minorEastAsia" w:hAnsiTheme="minorEastAsia" w:eastAsiaTheme="minorEastAsia"/>
                <w:sz w:val="24"/>
                <w:szCs w:val="24"/>
                <w:lang w:eastAsia="zh-CN"/>
              </w:rPr>
              <w:t>102×5.5无缝管，工艺：数控下料</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底座防震垫：每只底座设5块防震垫,满足底座摩擦力要求</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底座配重物：单只灌装配重物≥265kg，满足产品稳定性要求</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立柱材料外立柱：φ89×3.75焊管，内立柱：φ70×3异型钢管</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立柱调节装置弹簧助推，手柄锁紧，操作方便，高度调节升降灵活，无卡滞现象</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立柱包扎物：包扎物高度≥1850mm，厚度≥25mm，具有一定缓冲性能，防止肢体陷入。</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立柱紧线机构：棘爪式紧线锁紧机构，紧线方便，锁定可靠，无卡滞或自动返松现象</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立柱导套：外管上封套和内管内套，材质：ABS，防止立柱内管摩擦而引起表面漆膜脱落</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立柱底部缓冲：立柱底部配置缓冲垫，与底座缓冲接触，延长产品使用寿命</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立柱垂直度：球网被拉紧时，网柱应稳固地与地面保持垂直，立柱轴线对水平面的垂直公差应不大于15mm。</w:t>
            </w:r>
          </w:p>
          <w:p w14:paraId="2D36C4FE">
            <w:pPr>
              <w:pStyle w:val="2"/>
              <w:rPr>
                <w:lang w:eastAsia="zh-CN"/>
              </w:rPr>
            </w:pPr>
            <w:r>
              <w:rPr>
                <w:rFonts w:hint="eastAsia" w:cs="宋体" w:asciiTheme="minorEastAsia" w:hAnsiTheme="minorEastAsia" w:eastAsiaTheme="minorEastAsia"/>
                <w:sz w:val="24"/>
                <w:szCs w:val="24"/>
                <w:lang w:eastAsia="zh-CN"/>
              </w:rPr>
              <w:t>立柱刚性要求：网柱能承受≥600N的外力，球柱不产生永久变形，无倾倒现象。</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排球网网片规格：长9500mm~10000mm,高1000mm，网眼为正方形，100×100mm（±5）。</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排球网主要材料：网片：黑色涤纶长丝，上包边：白色PVC布，双层，宽为70mm，下包边：白色坛白布，双层，宽为50mm</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排球柱制作工艺：工艺过程：下料—焊接--抛丸--脱脂--水洗--无磷转化--水洗--烘干--静电粉末--固化（所有表面处理均在全自动喷涂流水线上作业）</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工艺特性：产品涂层附着力应≥1级，硬度≥2H，耐腐蚀度≥6级。</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936D">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25套</w:t>
            </w:r>
          </w:p>
        </w:tc>
      </w:tr>
      <w:tr w14:paraId="146764CF">
        <w:tblPrEx>
          <w:tblCellMar>
            <w:top w:w="0" w:type="dxa"/>
            <w:left w:w="108" w:type="dxa"/>
            <w:bottom w:w="0" w:type="dxa"/>
            <w:right w:w="108" w:type="dxa"/>
          </w:tblCellMar>
        </w:tblPrEx>
        <w:trPr>
          <w:trHeight w:val="144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42B5">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7</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5CA0">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 xml:space="preserve">排球 </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F860">
            <w:pPr>
              <w:spacing w:line="360" w:lineRule="auto"/>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1.颜色：黄色/白色/蓝色</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2.规格：5号球</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3.材质：合成革材质+橡胶内胆                                                                            4.重量：5号球重量在 260 - 280 克</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5.特点：柔软耐打，比赛适用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A804">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805个</w:t>
            </w:r>
          </w:p>
        </w:tc>
      </w:tr>
      <w:tr w14:paraId="730FD59E">
        <w:tblPrEx>
          <w:tblCellMar>
            <w:top w:w="0" w:type="dxa"/>
            <w:left w:w="108" w:type="dxa"/>
            <w:bottom w:w="0" w:type="dxa"/>
            <w:right w:w="108" w:type="dxa"/>
          </w:tblCellMar>
        </w:tblPrEx>
        <w:trPr>
          <w:trHeight w:val="113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E934">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7C71">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 xml:space="preserve">篮球 </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C32A">
            <w:pPr>
              <w:spacing w:line="360" w:lineRule="auto"/>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1.7#球，适用于中小学体育教学练习及比赛。                                                              2.球重量为470 - 500 克。                                                                        3.内胆由橡胶或丁基橡胶制成。                                                                       4.在胆外面缠绕多层纱线。                                                                           5.球面材料采用合成皮革材料制作，革皮质地松软，外表面以目测为主，商标、图案、色泽等字迹清晰、图案端正、色彩鲜艳，球片粘接无缝隙，表面无破损、脱落等现象、颜色均匀明显，做工精细。6.球体装一内陷式气阀,作充气用,保证密封性能良好。</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1498">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1160个</w:t>
            </w:r>
          </w:p>
        </w:tc>
      </w:tr>
      <w:tr w14:paraId="52FE5CCB">
        <w:tblPrEx>
          <w:tblCellMar>
            <w:top w:w="0" w:type="dxa"/>
            <w:left w:w="108" w:type="dxa"/>
            <w:bottom w:w="0" w:type="dxa"/>
            <w:right w:w="108" w:type="dxa"/>
          </w:tblCellMar>
        </w:tblPrEx>
        <w:trPr>
          <w:trHeight w:val="63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25B6">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4186">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 xml:space="preserve">教练篮球 </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D5F1">
            <w:pPr>
              <w:spacing w:line="360" w:lineRule="auto"/>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七号室内款，采用牛皮材质，教练推荐，十字型，吸湿材料优良。</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0E10">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1个</w:t>
            </w:r>
          </w:p>
        </w:tc>
      </w:tr>
      <w:tr w14:paraId="4EEF39C1">
        <w:tblPrEx>
          <w:tblCellMar>
            <w:top w:w="0" w:type="dxa"/>
            <w:left w:w="108" w:type="dxa"/>
            <w:bottom w:w="0" w:type="dxa"/>
            <w:right w:w="108" w:type="dxa"/>
          </w:tblCellMar>
        </w:tblPrEx>
        <w:trPr>
          <w:trHeight w:val="144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DA02">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B6AC">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 xml:space="preserve">足球 </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FC26">
            <w:pPr>
              <w:spacing w:line="360" w:lineRule="auto"/>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 xml:space="preserve">4#，直径约 19.8 厘米，圆周在 63.5 - 66 厘米之间，重量在 300 - 340 克。反弹高度1300～1400㎜，表皮：足球采用天然皮革或合成皮革作为表皮材料。内胆：由橡胶或丁基橡胶制成，具有良好的弹性和气密性。球胎由多层聚酯纤维或尼龙等材料编织而成，能够提高足球的强度和耐磨性。外观：足球是由 12 块正五边形和 20 块正六边形的皮块拼接而成。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64F0">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1170个</w:t>
            </w:r>
          </w:p>
        </w:tc>
      </w:tr>
      <w:tr w14:paraId="6E2EF1C3">
        <w:tblPrEx>
          <w:tblCellMar>
            <w:top w:w="0" w:type="dxa"/>
            <w:left w:w="108" w:type="dxa"/>
            <w:bottom w:w="0" w:type="dxa"/>
            <w:right w:w="108" w:type="dxa"/>
          </w:tblCellMar>
        </w:tblPrEx>
        <w:trPr>
          <w:trHeight w:val="1729"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18FD">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A4F2">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羽毛球拍</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5A91">
            <w:pPr>
              <w:spacing w:line="360" w:lineRule="auto"/>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1.规格:2只</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2.装质:合金</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3.重量:5U，重量为 75-79.9克</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4.手柄粗细：G6，握把直径约为 20.0mm</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5.磅数:14-18LBS</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 xml:space="preserve">6.适合打法:攻守结合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39EC">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1230副</w:t>
            </w:r>
          </w:p>
        </w:tc>
      </w:tr>
      <w:tr w14:paraId="702B3334">
        <w:tblPrEx>
          <w:tblCellMar>
            <w:top w:w="0" w:type="dxa"/>
            <w:left w:w="108" w:type="dxa"/>
            <w:bottom w:w="0" w:type="dxa"/>
            <w:right w:w="108" w:type="dxa"/>
          </w:tblCellMar>
        </w:tblPrEx>
        <w:trPr>
          <w:trHeight w:val="42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32BB">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AEED">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乒乓球拍</w:t>
            </w:r>
          </w:p>
        </w:tc>
        <w:tc>
          <w:tcPr>
            <w:tcW w:w="6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0704">
            <w:pPr>
              <w:spacing w:line="360" w:lineRule="auto"/>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1.规格:158mm×150mm，成品拍</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2.套胶:正胶、反胶</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3.底板层数:5层</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4.拍柄类型:横拍</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5.适合打法:快攻结合弧圈型</w:t>
            </w:r>
            <w:r>
              <w:rPr>
                <w:rFonts w:hint="eastAsia" w:cs="宋体" w:asciiTheme="minorEastAsia" w:hAnsiTheme="minorEastAsia" w:eastAsiaTheme="minorEastAsia"/>
                <w:sz w:val="24"/>
                <w:szCs w:val="24"/>
                <w:lang w:eastAsia="zh-CN"/>
              </w:rPr>
              <w:br w:type="textWrapping"/>
            </w:r>
            <w:r>
              <w:rPr>
                <w:rFonts w:hint="eastAsia" w:cs="宋体" w:asciiTheme="minorEastAsia" w:hAnsiTheme="minorEastAsia" w:eastAsiaTheme="minorEastAsia"/>
                <w:sz w:val="24"/>
                <w:szCs w:val="24"/>
                <w:lang w:eastAsia="zh-CN"/>
              </w:rPr>
              <w:t xml:space="preserve">6.海绵规格：海绵厚度一般在 1.5 毫米到 2.5 毫米之间；海绵硬度中级别。                                   </w:t>
            </w:r>
          </w:p>
          <w:p w14:paraId="792144F7">
            <w:pPr>
              <w:spacing w:line="360" w:lineRule="auto"/>
              <w:textAlignment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7.重量规格：乒乓球拍的重量一般在 80 克到 100 克之间</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9461">
            <w:pPr>
              <w:spacing w:line="360" w:lineRule="auto"/>
              <w:jc w:val="center"/>
              <w:textAlignment w:val="center"/>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1268副</w:t>
            </w:r>
          </w:p>
        </w:tc>
      </w:tr>
    </w:tbl>
    <w:p w14:paraId="2A0A2AAB">
      <w:pPr>
        <w:widowControl w:val="0"/>
        <w:kinsoku/>
        <w:spacing w:line="360" w:lineRule="auto"/>
        <w:jc w:val="both"/>
        <w:rPr>
          <w:rFonts w:cs="宋体" w:asciiTheme="minorEastAsia" w:hAnsiTheme="minorEastAsia" w:eastAsiaTheme="minorEastAsia"/>
          <w:b/>
          <w:sz w:val="24"/>
          <w:szCs w:val="24"/>
          <w:lang w:eastAsia="zh-CN"/>
        </w:rPr>
      </w:pPr>
      <w:r>
        <w:rPr>
          <w:rFonts w:asciiTheme="minorEastAsia" w:hAnsiTheme="minorEastAsia" w:eastAsiaTheme="minorEastAsia"/>
          <w:b/>
          <w:color w:val="auto"/>
          <w:sz w:val="24"/>
          <w:szCs w:val="24"/>
          <w:lang w:eastAsia="zh-CN"/>
        </w:rPr>
        <w:t xml:space="preserve">                                                                                                 </w:t>
      </w:r>
      <w:r>
        <w:rPr>
          <w:rFonts w:hint="eastAsia" w:cs="宋体" w:asciiTheme="minorEastAsia" w:hAnsiTheme="minorEastAsia" w:eastAsiaTheme="minorEastAsia"/>
          <w:b/>
          <w:sz w:val="24"/>
          <w:szCs w:val="24"/>
          <w:lang w:eastAsia="zh-CN"/>
        </w:rPr>
        <w:t>其它说明：</w:t>
      </w:r>
    </w:p>
    <w:p w14:paraId="37EBE4D0">
      <w:pPr>
        <w:widowControl w:val="0"/>
        <w:kinsoku/>
        <w:spacing w:before="183" w:line="360" w:lineRule="auto"/>
        <w:ind w:right="10"/>
        <w:jc w:val="both"/>
        <w:rPr>
          <w:rFonts w:hint="eastAsia" w:cs="宋体" w:asciiTheme="minorEastAsia" w:hAnsiTheme="minorEastAsia" w:eastAsiaTheme="minorEastAsia"/>
          <w:b/>
          <w:bCs/>
          <w:color w:val="auto"/>
          <w:spacing w:val="-1"/>
          <w:position w:val="17"/>
          <w:sz w:val="24"/>
          <w:szCs w:val="24"/>
          <w:lang w:eastAsia="zh-CN"/>
        </w:rPr>
      </w:pPr>
      <w:r>
        <w:rPr>
          <w:rFonts w:hint="eastAsia" w:cs="宋体" w:asciiTheme="minorEastAsia" w:hAnsiTheme="minorEastAsia" w:eastAsiaTheme="minorEastAsia"/>
          <w:b/>
          <w:bCs/>
          <w:color w:val="auto"/>
          <w:spacing w:val="-1"/>
          <w:position w:val="17"/>
          <w:sz w:val="24"/>
          <w:szCs w:val="24"/>
          <w:lang w:eastAsia="zh-CN"/>
        </w:rPr>
        <w:t xml:space="preserve">1.签订合同前，提供篮球架、乒乓球台、排球架、羽毛球架、足球门所用钢材小样，排球、篮球、足球、羽毛球拍、乒乓球拍样品各一个（需要接受破坏性检测）。通过验收后签订合同，按验收后的成品开始供货，完成合同履约。                                                                                                              </w:t>
      </w:r>
    </w:p>
    <w:p w14:paraId="50ACF426">
      <w:pPr>
        <w:widowControl w:val="0"/>
        <w:kinsoku/>
        <w:spacing w:before="183" w:line="360" w:lineRule="auto"/>
        <w:ind w:right="10"/>
        <w:jc w:val="both"/>
        <w:rPr>
          <w:rFonts w:hint="eastAsia" w:cs="宋体" w:asciiTheme="minorEastAsia" w:hAnsiTheme="minorEastAsia" w:eastAsiaTheme="minorEastAsia"/>
          <w:b/>
          <w:bCs/>
          <w:color w:val="auto"/>
          <w:spacing w:val="-1"/>
          <w:position w:val="17"/>
          <w:sz w:val="24"/>
          <w:szCs w:val="24"/>
          <w:lang w:eastAsia="zh-CN"/>
        </w:rPr>
      </w:pPr>
      <w:r>
        <w:rPr>
          <w:rFonts w:hint="eastAsia" w:cs="宋体" w:asciiTheme="minorEastAsia" w:hAnsiTheme="minorEastAsia" w:eastAsiaTheme="minorEastAsia"/>
          <w:b/>
          <w:bCs/>
          <w:color w:val="auto"/>
          <w:spacing w:val="-1"/>
          <w:position w:val="17"/>
          <w:sz w:val="24"/>
          <w:szCs w:val="24"/>
          <w:lang w:val="en-US" w:eastAsia="zh-CN"/>
        </w:rPr>
        <w:t>2.</w:t>
      </w:r>
      <w:r>
        <w:rPr>
          <w:rFonts w:hint="eastAsia" w:cs="宋体" w:asciiTheme="minorEastAsia" w:hAnsiTheme="minorEastAsia" w:eastAsiaTheme="minorEastAsia"/>
          <w:b/>
          <w:bCs/>
          <w:color w:val="auto"/>
          <w:spacing w:val="-1"/>
          <w:position w:val="17"/>
          <w:sz w:val="24"/>
          <w:szCs w:val="24"/>
          <w:lang w:eastAsia="zh-CN"/>
        </w:rPr>
        <w:t>以上技术需求为采购基本要求，若指向特定品牌及生产厂家时仅供参考，投标人可用满足或优于要求的产品参与投标。</w:t>
      </w:r>
    </w:p>
    <w:p w14:paraId="7AF11F23">
      <w:pPr>
        <w:widowControl w:val="0"/>
        <w:kinsoku/>
        <w:spacing w:before="183" w:line="360" w:lineRule="auto"/>
        <w:ind w:right="10"/>
        <w:jc w:val="both"/>
        <w:rPr>
          <w:rFonts w:hint="eastAsia" w:cs="宋体" w:asciiTheme="minorEastAsia" w:hAnsiTheme="minorEastAsia" w:eastAsiaTheme="minorEastAsia"/>
          <w:b/>
          <w:bCs/>
          <w:color w:val="auto"/>
          <w:spacing w:val="-1"/>
          <w:position w:val="17"/>
          <w:sz w:val="24"/>
          <w:szCs w:val="24"/>
          <w:lang w:val="en-US" w:eastAsia="zh-CN"/>
        </w:rPr>
      </w:pPr>
      <w:r>
        <w:rPr>
          <w:rFonts w:hint="eastAsia" w:cs="宋体" w:asciiTheme="minorEastAsia" w:hAnsiTheme="minorEastAsia" w:eastAsiaTheme="minorEastAsia"/>
          <w:b/>
          <w:bCs/>
          <w:color w:val="auto"/>
          <w:spacing w:val="-1"/>
          <w:position w:val="17"/>
          <w:sz w:val="24"/>
          <w:szCs w:val="24"/>
          <w:lang w:val="en-US" w:eastAsia="zh-CN"/>
        </w:rPr>
        <w:t>3.中标供应商在提交验收申请前，须接受所有货物随机破坏性验收，破坏性验收货物损耗由供应商承担并补齐采购数量。</w:t>
      </w:r>
    </w:p>
    <w:p w14:paraId="2B596B82">
      <w:pPr>
        <w:widowControl w:val="0"/>
        <w:kinsoku/>
        <w:spacing w:before="183" w:line="360" w:lineRule="auto"/>
        <w:ind w:right="10"/>
        <w:jc w:val="both"/>
        <w:rPr>
          <w:rFonts w:hint="default" w:cs="宋体" w:asciiTheme="minorEastAsia" w:hAnsiTheme="minorEastAsia" w:eastAsiaTheme="minorEastAsia"/>
          <w:b/>
          <w:bCs/>
          <w:color w:val="auto"/>
          <w:spacing w:val="-1"/>
          <w:position w:val="17"/>
          <w:sz w:val="24"/>
          <w:szCs w:val="24"/>
          <w:lang w:val="en-US" w:eastAsia="zh-CN"/>
        </w:rPr>
      </w:pPr>
      <w:r>
        <w:rPr>
          <w:rFonts w:hint="eastAsia" w:cs="宋体" w:asciiTheme="minorEastAsia" w:hAnsiTheme="minorEastAsia" w:eastAsiaTheme="minorEastAsia"/>
          <w:b/>
          <w:bCs/>
          <w:color w:val="auto"/>
          <w:spacing w:val="-1"/>
          <w:position w:val="17"/>
          <w:sz w:val="24"/>
          <w:szCs w:val="24"/>
          <w:lang w:val="en-US" w:eastAsia="zh-CN"/>
        </w:rPr>
        <w:t>4.中标单位提供成品做破坏性检测结果与本次招标采购需求中参数不一致视为恶意中标做无效中标处理，并追究相关法律责任。</w:t>
      </w:r>
    </w:p>
    <w:p w14:paraId="091DB75A">
      <w:pPr>
        <w:rPr>
          <w:lang w:eastAsia="zh-CN"/>
        </w:rPr>
      </w:pPr>
      <w:bookmarkStart w:id="9" w:name="_GoBack"/>
      <w:bookmarkEnd w:id="9"/>
    </w:p>
    <w:sectPr>
      <w:footerReference r:id="rId3" w:type="default"/>
      <w:pgSz w:w="11906" w:h="16839"/>
      <w:pgMar w:top="1463" w:right="1757" w:bottom="1463" w:left="1757" w:header="0" w:footer="9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07F57">
    <w:pPr>
      <w:pStyle w:val="5"/>
      <w:rPr>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5B7925">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2BA5AgAAcQ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ZUKKZQsfPP76f&#10;f/4+//pGcAeBGutniNtaRIb2nWkxNv29x2Xk3ZZOxV8wIvBD3tNVXtEGwuOj6Xg6HcLF4esPwM+e&#10;nlvnw3thFIlGTh36l2Rlx40PXWgfErNps66lTD2UmjQ5vXk7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Q2BA5AgAAcQQAAA4AAAAAAAAAAQAgAAAAHwEAAGRycy9lMm9Eb2Mu&#10;eG1sUEsFBgAAAAAGAAYAWQEAAMoFAAAAAA==&#10;">
              <v:fill on="f" focussize="0,0"/>
              <v:stroke on="f" weight="0.5pt"/>
              <v:imagedata o:title=""/>
              <o:lock v:ext="edit" aspectratio="f"/>
              <v:textbox inset="0mm,0mm,0mm,0mm" style="mso-fit-shape-to-text:t;">
                <w:txbxContent>
                  <w:p w14:paraId="635B7925">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E3107"/>
    <w:multiLevelType w:val="singleLevel"/>
    <w:tmpl w:val="8D2E310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90EF0"/>
    <w:rsid w:val="000425A2"/>
    <w:rsid w:val="1CF0475B"/>
    <w:rsid w:val="1E3619C8"/>
    <w:rsid w:val="37690EF0"/>
    <w:rsid w:val="3A944229"/>
    <w:rsid w:val="43F162E3"/>
    <w:rsid w:val="6A2E6FD8"/>
    <w:rsid w:val="75D55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2"/>
    <w:basedOn w:val="1"/>
    <w:next w:val="1"/>
    <w:qFormat/>
    <w:uiPriority w:val="0"/>
    <w:pPr>
      <w:keepNext/>
      <w:keepLines/>
      <w:spacing w:before="260" w:after="260" w:line="413" w:lineRule="auto"/>
      <w:outlineLvl w:val="1"/>
    </w:pPr>
    <w:rPr>
      <w:rFonts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 w:hAnsi="仿宋" w:eastAsia="仿宋" w:cs="仿宋"/>
      <w:sz w:val="30"/>
      <w:szCs w:val="30"/>
    </w:rPr>
  </w:style>
  <w:style w:type="paragraph" w:styleId="3">
    <w:name w:val="Body Text First Indent"/>
    <w:basedOn w:val="2"/>
    <w:qFormat/>
    <w:uiPriority w:val="0"/>
    <w:pPr>
      <w:ind w:firstLine="420" w:firstLineChars="100"/>
    </w:pPr>
  </w:style>
  <w:style w:type="paragraph" w:styleId="5">
    <w:name w:val="footer"/>
    <w:basedOn w:val="1"/>
    <w:qFormat/>
    <w:uiPriority w:val="0"/>
    <w:pPr>
      <w:tabs>
        <w:tab w:val="center" w:pos="4153"/>
        <w:tab w:val="right" w:pos="8306"/>
      </w:tabs>
    </w:pPr>
    <w:rPr>
      <w:sz w:val="18"/>
    </w:rPr>
  </w:style>
  <w:style w:type="character" w:customStyle="1" w:styleId="8">
    <w:name w:val="font2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3181</Words>
  <Characters>3794</Characters>
  <Lines>0</Lines>
  <Paragraphs>0</Paragraphs>
  <TotalTime>0</TotalTime>
  <ScaleCrop>false</ScaleCrop>
  <LinksUpToDate>false</LinksUpToDate>
  <CharactersWithSpaces>4626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2025-03-04T01:38:00Z</dcterms:created>
  <dc:creator>舒霞</dc:creator>
  <cp:lastModifiedBy>舒霞</cp:lastModifiedBy>
  <cp:lastPrinted>2025-03-05T08:31:00Z</cp:lastPrinted>
  <dcterms:modified xsi:type="dcterms:W3CDTF">2025-07-21T03:10:00Z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C416B1249E2340929CFBDC8576238B43_13</vt:lpwstr>
  </property>
  <property fmtid="{D5CDD505-2E9C-101B-9397-08002B2CF9AE}" pid="4" name="KSOTemplateDocerSaveRecord">
    <vt:lpwstr>eyJoZGlkIjoiYjU0YmUyMjE0NTNiN2UyYjkxZDQyNzY3YTdiZjNkOGMiLCJ1c2VySWQiOiI2MDE1MTIwNDAifQ==</vt:lpwstr>
  </property>
</Properties>
</file>